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9E09AF">
      <w:pPr>
        <w:spacing w:line="360" w:lineRule="auto"/>
        <w:jc w:val="center"/>
        <w:rPr>
          <w:rFonts w:ascii="方正小标宋简体" w:eastAsia="方正小标宋简体"/>
          <w:sz w:val="44"/>
          <w:szCs w:val="44"/>
          <w:highlight w:val="none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highlight w:val="none"/>
        </w:rPr>
        <w:t>关于佛山市城市轨道交通</w:t>
      </w:r>
      <w:r>
        <w:rPr>
          <w:rFonts w:hint="eastAsia" w:asciiTheme="majorEastAsia" w:hAnsiTheme="majorEastAsia" w:eastAsiaTheme="majorEastAsia" w:cstheme="majorEastAsia"/>
          <w:sz w:val="44"/>
          <w:szCs w:val="44"/>
          <w:highlight w:val="none"/>
          <w:lang w:val="en-US" w:eastAsia="zh-CN"/>
        </w:rPr>
        <w:t>保护管理</w:t>
      </w:r>
      <w:r>
        <w:rPr>
          <w:rFonts w:hint="eastAsia" w:asciiTheme="majorEastAsia" w:hAnsiTheme="majorEastAsia" w:eastAsiaTheme="majorEastAsia" w:cstheme="majorEastAsia"/>
          <w:sz w:val="44"/>
          <w:szCs w:val="44"/>
          <w:highlight w:val="none"/>
        </w:rPr>
        <w:t>办公室保护</w:t>
      </w:r>
      <w:r>
        <w:rPr>
          <w:rFonts w:hint="eastAsia" w:asciiTheme="majorEastAsia" w:hAnsiTheme="majorEastAsia" w:eastAsiaTheme="majorEastAsia" w:cstheme="majorEastAsia"/>
          <w:sz w:val="44"/>
          <w:szCs w:val="44"/>
          <w:highlight w:val="none"/>
          <w:lang w:val="en-US" w:eastAsia="zh-CN"/>
        </w:rPr>
        <w:t>区</w:t>
      </w:r>
      <w:r>
        <w:rPr>
          <w:rFonts w:hint="eastAsia" w:asciiTheme="majorEastAsia" w:hAnsiTheme="majorEastAsia" w:eastAsiaTheme="majorEastAsia" w:cstheme="majorEastAsia"/>
          <w:sz w:val="44"/>
          <w:szCs w:val="44"/>
          <w:highlight w:val="none"/>
        </w:rPr>
        <w:t>范围外部建设项目的报审指南</w:t>
      </w:r>
    </w:p>
    <w:p w14:paraId="175CE4E3">
      <w:pPr>
        <w:spacing w:line="360" w:lineRule="auto"/>
        <w:rPr>
          <w:rFonts w:asciiTheme="minorEastAsia" w:hAnsiTheme="minorEastAsia"/>
          <w:szCs w:val="21"/>
          <w:highlight w:val="none"/>
        </w:rPr>
      </w:pPr>
    </w:p>
    <w:p w14:paraId="41A5F1BB">
      <w:pPr>
        <w:pStyle w:val="13"/>
        <w:ind w:left="640" w:firstLine="0" w:firstLineChars="0"/>
        <w:rPr>
          <w:rFonts w:ascii="楷体" w:hAnsi="楷体" w:eastAsia="楷体"/>
          <w:b/>
          <w:sz w:val="32"/>
          <w:szCs w:val="32"/>
          <w:highlight w:val="none"/>
        </w:rPr>
      </w:pPr>
      <w:r>
        <w:rPr>
          <w:rFonts w:ascii="楷体" w:hAnsi="楷体" w:eastAsia="楷体"/>
          <w:b/>
          <w:sz w:val="32"/>
          <w:szCs w:val="32"/>
          <w:highlight w:val="none"/>
        </w:rPr>
        <w:t>一、办事依据</w:t>
      </w:r>
    </w:p>
    <w:p w14:paraId="7D0349FA">
      <w:pPr>
        <w:pStyle w:val="13"/>
        <w:ind w:firstLine="640"/>
        <w:rPr>
          <w:rFonts w:ascii="仿宋_GB2312" w:eastAsia="仿宋_GB2312" w:hAnsiTheme="minorEastAsia"/>
          <w:sz w:val="32"/>
          <w:szCs w:val="32"/>
          <w:highlight w:val="none"/>
        </w:rPr>
      </w:pPr>
      <w:r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  <w:t>根据国家、省、市颁发的地铁保护相关法律法规、规范、政策、</w:t>
      </w:r>
      <w:r>
        <w:rPr>
          <w:rFonts w:hint="eastAsia" w:ascii="仿宋_GB2312" w:eastAsia="仿宋_GB2312" w:hAnsiTheme="minorEastAsia"/>
          <w:sz w:val="32"/>
          <w:szCs w:val="32"/>
          <w:highlight w:val="none"/>
        </w:rPr>
        <w:t>佛山市轨道交通局委托</w:t>
      </w:r>
      <w:r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  <w:t>文件等开展地铁保护审查工作。</w:t>
      </w:r>
    </w:p>
    <w:p w14:paraId="298DA30A">
      <w:pPr>
        <w:spacing w:line="360" w:lineRule="auto"/>
        <w:ind w:firstLine="640" w:firstLineChars="200"/>
        <w:rPr>
          <w:rFonts w:ascii="仿宋_GB2312" w:eastAsia="仿宋_GB2312" w:hAnsiTheme="minorEastAsia"/>
          <w:sz w:val="32"/>
          <w:szCs w:val="32"/>
          <w:highlight w:val="none"/>
        </w:rPr>
      </w:pPr>
      <w:r>
        <w:rPr>
          <w:rFonts w:hint="eastAsia" w:ascii="仿宋_GB2312" w:eastAsia="仿宋_GB2312" w:hAnsiTheme="minorEastAsia"/>
          <w:sz w:val="32"/>
          <w:szCs w:val="32"/>
          <w:highlight w:val="none"/>
        </w:rPr>
        <w:t>二</w:t>
      </w:r>
      <w:r>
        <w:rPr>
          <w:rFonts w:ascii="仿宋_GB2312" w:eastAsia="仿宋_GB2312" w:hAnsiTheme="minorEastAsia"/>
          <w:sz w:val="32"/>
          <w:szCs w:val="32"/>
          <w:highlight w:val="none"/>
        </w:rPr>
        <w:t>、</w:t>
      </w:r>
      <w:r>
        <w:rPr>
          <w:rFonts w:ascii="仿宋_GB2312" w:eastAsia="仿宋_GB2312" w:hAnsiTheme="minorEastAsia"/>
          <w:b/>
          <w:sz w:val="32"/>
          <w:szCs w:val="32"/>
          <w:highlight w:val="none"/>
        </w:rPr>
        <w:t>受理范围</w:t>
      </w:r>
    </w:p>
    <w:p w14:paraId="550B68F5">
      <w:pPr>
        <w:pStyle w:val="13"/>
        <w:ind w:firstLine="640"/>
        <w:rPr>
          <w:rFonts w:ascii="仿宋_GB2312" w:eastAsia="仿宋_GB2312" w:hAnsiTheme="minorEastAsia"/>
          <w:sz w:val="32"/>
          <w:szCs w:val="32"/>
          <w:highlight w:val="none"/>
        </w:rPr>
      </w:pPr>
      <w:r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  <w:t>自2024年7月1日起，</w:t>
      </w:r>
      <w:r>
        <w:rPr>
          <w:rFonts w:hint="eastAsia" w:ascii="仿宋_GB2312" w:eastAsia="仿宋_GB2312" w:hAnsiTheme="minorEastAsia"/>
          <w:sz w:val="32"/>
          <w:szCs w:val="32"/>
          <w:highlight w:val="none"/>
        </w:rPr>
        <w:t>受理属于</w:t>
      </w:r>
      <w:r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  <w:t>广佛线三期、</w:t>
      </w:r>
      <w:r>
        <w:rPr>
          <w:rFonts w:hint="eastAsia" w:ascii="仿宋_GB2312" w:eastAsia="仿宋_GB2312" w:hAnsiTheme="minorEastAsia"/>
          <w:sz w:val="32"/>
          <w:szCs w:val="32"/>
          <w:highlight w:val="none"/>
        </w:rPr>
        <w:t>佛山地铁2号线一期工程、2号线二期工程、3号线工程、4号线一期工程、5号线、6号线、7号线、8号线、9号线、10号线、11号线、12号线、13号线、14号线、15号线，广州地铁10号线佛山段、广州地铁17号线佛山段、广州地铁19号线佛山段、广州地铁26号线佛山段、广州地铁32号线佛山段、广州地铁33号线佛山段，佛穗莞城际佛山段、广佛江珠城际佛山段、肇顺南城际佛山段</w:t>
      </w:r>
      <w:r>
        <w:rPr>
          <w:rFonts w:hint="eastAsia" w:ascii="仿宋_GB2312" w:eastAsia="仿宋_GB2312" w:hAnsiTheme="minorEastAsia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eastAsia="仿宋_GB2312" w:hAnsiTheme="minorEastAsia"/>
          <w:sz w:val="32"/>
          <w:szCs w:val="32"/>
          <w:highlight w:val="none"/>
        </w:rPr>
        <w:t>南海有轨电车一号线、广佛线、广州7号线西延顺德段等线路保护区内的建设项目。</w:t>
      </w:r>
    </w:p>
    <w:p w14:paraId="3C0AECDE">
      <w:pPr>
        <w:pStyle w:val="13"/>
        <w:spacing w:line="360" w:lineRule="auto"/>
        <w:ind w:left="640" w:firstLine="0" w:firstLineChars="0"/>
        <w:rPr>
          <w:rFonts w:hint="eastAsia" w:ascii="仿宋_GB2312" w:eastAsia="仿宋_GB2312" w:hAnsiTheme="minorEastAsia"/>
          <w:b/>
          <w:sz w:val="32"/>
          <w:szCs w:val="32"/>
          <w:highlight w:val="none"/>
        </w:rPr>
      </w:pPr>
      <w:r>
        <w:rPr>
          <w:rFonts w:hint="eastAsia" w:ascii="仿宋_GB2312" w:eastAsia="仿宋_GB2312" w:hAnsiTheme="minorEastAsia"/>
          <w:b/>
          <w:sz w:val="32"/>
          <w:szCs w:val="32"/>
          <w:highlight w:val="none"/>
          <w:lang w:val="en-US" w:eastAsia="zh-CN"/>
        </w:rPr>
        <w:t>三</w:t>
      </w:r>
      <w:r>
        <w:rPr>
          <w:rFonts w:ascii="仿宋_GB2312" w:eastAsia="仿宋_GB2312" w:hAnsiTheme="minorEastAsia"/>
          <w:b/>
          <w:sz w:val="32"/>
          <w:szCs w:val="32"/>
          <w:highlight w:val="none"/>
        </w:rPr>
        <w:t>、</w:t>
      </w:r>
      <w:r>
        <w:rPr>
          <w:rFonts w:hint="eastAsia" w:ascii="仿宋_GB2312" w:eastAsia="仿宋_GB2312" w:hAnsiTheme="minorEastAsia"/>
          <w:b/>
          <w:sz w:val="32"/>
          <w:szCs w:val="32"/>
          <w:highlight w:val="none"/>
        </w:rPr>
        <w:t>报审流程</w:t>
      </w:r>
    </w:p>
    <w:p w14:paraId="70FB49D4">
      <w:pPr>
        <w:spacing w:line="360" w:lineRule="auto"/>
        <w:ind w:left="0" w:firstLine="640" w:firstLineChars="200"/>
        <w:rPr>
          <w:rFonts w:hint="eastAsia" w:ascii="仿宋_GB2312" w:eastAsia="仿宋_GB2312" w:hAnsiTheme="minorEastAsia"/>
          <w:b/>
          <w:sz w:val="32"/>
          <w:szCs w:val="32"/>
          <w:highlight w:val="none"/>
        </w:rPr>
      </w:pPr>
      <w:r>
        <w:rPr>
          <w:rFonts w:hint="eastAsia" w:ascii="仿宋_GB2312" w:eastAsia="仿宋_GB2312"/>
          <w:sz w:val="32"/>
          <w:szCs w:val="32"/>
          <w:highlight w:val="none"/>
        </w:rPr>
        <w:t>报审单位提交报审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资料</w:t>
      </w:r>
      <w:r>
        <w:rPr>
          <w:rFonts w:hint="eastAsia" w:ascii="仿宋_GB2312" w:eastAsia="仿宋_GB2312"/>
          <w:sz w:val="32"/>
          <w:szCs w:val="32"/>
          <w:highlight w:val="none"/>
        </w:rPr>
        <w:t>时，请严格</w:t>
      </w:r>
      <w:r>
        <w:rPr>
          <w:rFonts w:ascii="仿宋_GB2312" w:eastAsia="仿宋_GB2312"/>
          <w:sz w:val="32"/>
          <w:szCs w:val="32"/>
          <w:highlight w:val="none"/>
        </w:rPr>
        <w:t>按</w:t>
      </w:r>
      <w:r>
        <w:rPr>
          <w:rFonts w:hint="eastAsia" w:ascii="仿宋_GB2312" w:eastAsia="仿宋_GB2312"/>
          <w:sz w:val="32"/>
          <w:szCs w:val="32"/>
          <w:highlight w:val="none"/>
        </w:rPr>
        <w:t>照</w:t>
      </w:r>
      <w:r>
        <w:rPr>
          <w:rFonts w:hint="eastAsia" w:ascii="仿宋_GB2312" w:eastAsia="仿宋_GB2312" w:hAnsiTheme="minorEastAsia"/>
          <w:sz w:val="32"/>
          <w:szCs w:val="32"/>
          <w:highlight w:val="none"/>
        </w:rPr>
        <w:t>佛山市城市轨道交通管理保护办公室报审要</w:t>
      </w:r>
      <w:r>
        <w:rPr>
          <w:rFonts w:hint="eastAsia" w:ascii="仿宋_GB2312" w:eastAsia="仿宋_GB2312"/>
          <w:sz w:val="32"/>
          <w:szCs w:val="32"/>
          <w:highlight w:val="none"/>
        </w:rPr>
        <w:t>求（详见附件）准备相关资料，</w:t>
      </w:r>
      <w:r>
        <w:rPr>
          <w:rFonts w:ascii="仿宋_GB2312" w:eastAsia="仿宋_GB2312"/>
          <w:sz w:val="32"/>
          <w:szCs w:val="32"/>
          <w:highlight w:val="none"/>
        </w:rPr>
        <w:t>以便我办及时受理</w:t>
      </w:r>
      <w:r>
        <w:rPr>
          <w:rFonts w:hint="eastAsia" w:ascii="仿宋_GB2312" w:eastAsia="仿宋_GB2312"/>
          <w:sz w:val="32"/>
          <w:szCs w:val="32"/>
          <w:highlight w:val="none"/>
        </w:rPr>
        <w:t>。</w:t>
      </w:r>
    </w:p>
    <w:p w14:paraId="29031BB8">
      <w:pPr>
        <w:spacing w:line="360" w:lineRule="auto"/>
        <w:ind w:firstLine="640" w:firstLineChars="200"/>
        <w:rPr>
          <w:rFonts w:hint="default" w:ascii="仿宋_GB2312" w:eastAsia="仿宋_GB2312" w:hAnsiTheme="minorEastAsia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 w:hAnsiTheme="minorEastAsia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  <w:t>一</w:t>
      </w:r>
      <w:r>
        <w:rPr>
          <w:rFonts w:hint="eastAsia" w:ascii="仿宋_GB2312" w:eastAsia="仿宋_GB2312" w:hAnsiTheme="minorEastAsia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  <w:t>报审网站</w:t>
      </w:r>
    </w:p>
    <w:p w14:paraId="11A9EE50">
      <w:pPr>
        <w:ind w:firstLine="640" w:firstLineChars="200"/>
        <w:jc w:val="left"/>
        <w:rPr>
          <w:rFonts w:hint="default" w:ascii="仿宋_GB2312" w:eastAsia="仿宋_GB2312" w:hAnsiTheme="minorEastAsia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  <w:t>1.</w:t>
      </w:r>
      <w:r>
        <w:rPr>
          <w:rFonts w:hint="eastAsia" w:ascii="仿宋_GB2312" w:eastAsia="仿宋_GB2312" w:hAnsiTheme="minorEastAsia"/>
          <w:sz w:val="32"/>
          <w:szCs w:val="32"/>
          <w:highlight w:val="none"/>
        </w:rPr>
        <w:t>属于我办受理项目，请</w:t>
      </w:r>
      <w:r>
        <w:rPr>
          <w:rFonts w:hint="default" w:ascii="仿宋_GB2312" w:eastAsia="仿宋_GB2312" w:hAnsiTheme="minorEastAsia"/>
          <w:sz w:val="32"/>
          <w:szCs w:val="32"/>
          <w:highlight w:val="none"/>
        </w:rPr>
        <w:t>登陆</w:t>
      </w:r>
      <w:r>
        <w:rPr>
          <w:rFonts w:hint="eastAsia" w:ascii="仿宋_GB2312" w:eastAsia="仿宋_GB2312" w:hAnsiTheme="minorEastAsia"/>
          <w:sz w:val="32"/>
          <w:szCs w:val="32"/>
          <w:highlight w:val="none"/>
          <w:lang w:eastAsia="zh-CN"/>
        </w:rPr>
        <w:t>“</w:t>
      </w:r>
      <w:r>
        <w:rPr>
          <w:rFonts w:hint="default" w:ascii="仿宋_GB2312" w:eastAsia="仿宋_GB2312" w:hAnsiTheme="minorEastAsia"/>
          <w:sz w:val="32"/>
          <w:szCs w:val="32"/>
          <w:highlight w:val="none"/>
          <w:lang w:eastAsia="zh-CN"/>
        </w:rPr>
        <w:t>佛山</w:t>
      </w:r>
      <w:r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  <w:t>地铁官网→地铁保护→网上办事”进行前期咨询、正式申报、项目监测上传。报审网址：https://dtbh.fmetro.net:12534/#/Home</w:t>
      </w:r>
    </w:p>
    <w:p w14:paraId="2F46F61D">
      <w:pPr>
        <w:ind w:firstLine="0" w:firstLineChars="0"/>
        <w:jc w:val="both"/>
        <w:rPr>
          <w:rFonts w:hint="default" w:ascii="仿宋_GB2312" w:eastAsia="仿宋_GB2312" w:hAnsiTheme="minorEastAsia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  <w:t xml:space="preserve">   </w:t>
      </w:r>
      <w:r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  <w:drawing>
          <wp:inline distT="0" distB="0" distL="114300" distR="114300">
            <wp:extent cx="4749800" cy="2367915"/>
            <wp:effectExtent l="0" t="0" r="12700" b="13335"/>
            <wp:docPr id="3" name="图片 3" descr="16893032877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689303287772"/>
                    <pic:cNvPicPr>
                      <a:picLocks noChangeAspect="1"/>
                    </pic:cNvPicPr>
                  </pic:nvPicPr>
                  <pic:blipFill>
                    <a:blip r:embed="rId4"/>
                    <a:srcRect l="16690" r="13921"/>
                    <a:stretch>
                      <a:fillRect/>
                    </a:stretch>
                  </pic:blipFill>
                  <pic:spPr>
                    <a:xfrm>
                      <a:off x="0" y="0"/>
                      <a:ext cx="4749800" cy="2367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53B18B">
      <w:pPr>
        <w:spacing w:line="360" w:lineRule="auto"/>
        <w:ind w:firstLine="640" w:firstLineChars="200"/>
        <w:rPr>
          <w:rFonts w:hint="default" w:ascii="仿宋_GB2312" w:eastAsia="仿宋_GB2312" w:hAnsiTheme="minorEastAsia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 w:hAnsiTheme="minorEastAsia"/>
          <w:sz w:val="32"/>
          <w:szCs w:val="32"/>
          <w:highlight w:val="none"/>
        </w:rPr>
        <w:t>（</w:t>
      </w:r>
      <w:r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  <w:t>二</w:t>
      </w:r>
      <w:r>
        <w:rPr>
          <w:rFonts w:hint="eastAsia" w:ascii="仿宋_GB2312" w:eastAsia="仿宋_GB2312" w:hAnsiTheme="minorEastAsia"/>
          <w:sz w:val="32"/>
          <w:szCs w:val="32"/>
          <w:highlight w:val="none"/>
        </w:rPr>
        <w:t>）</w:t>
      </w:r>
      <w:r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  <w:t>报审阶段</w:t>
      </w:r>
    </w:p>
    <w:p w14:paraId="311C3784">
      <w:pPr>
        <w:ind w:firstLine="640" w:firstLineChars="200"/>
        <w:rPr>
          <w:rFonts w:hint="eastAsia" w:ascii="仿宋_GB2312" w:eastAsia="仿宋_GB2312" w:hAnsiTheme="minorEastAsia"/>
          <w:sz w:val="32"/>
          <w:szCs w:val="32"/>
          <w:highlight w:val="none"/>
        </w:rPr>
      </w:pPr>
      <w:r>
        <w:rPr>
          <w:rFonts w:hint="eastAsia" w:ascii="仿宋_GB2312" w:eastAsia="仿宋_GB2312" w:hAnsiTheme="minorEastAsia"/>
          <w:sz w:val="32"/>
          <w:szCs w:val="32"/>
          <w:highlight w:val="none"/>
        </w:rPr>
        <w:t>1.前期</w:t>
      </w:r>
      <w:r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  <w:t>咨询阶段</w:t>
      </w:r>
    </w:p>
    <w:p w14:paraId="65AAE5EB">
      <w:pPr>
        <w:ind w:firstLine="640" w:firstLineChars="200"/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  <w:t>1.1</w:t>
      </w:r>
      <w:r>
        <w:rPr>
          <w:rFonts w:hint="eastAsia" w:ascii="仿宋_GB2312" w:eastAsia="仿宋_GB2312" w:hAnsiTheme="minorEastAsia"/>
          <w:sz w:val="32"/>
          <w:szCs w:val="32"/>
          <w:highlight w:val="none"/>
        </w:rPr>
        <w:t>属于我办受理项目，请</w:t>
      </w:r>
      <w:r>
        <w:rPr>
          <w:rFonts w:hint="default" w:ascii="仿宋_GB2312" w:eastAsia="仿宋_GB2312" w:hAnsiTheme="minorEastAsia"/>
          <w:sz w:val="32"/>
          <w:szCs w:val="32"/>
          <w:highlight w:val="none"/>
        </w:rPr>
        <w:t>登陆</w:t>
      </w:r>
      <w:r>
        <w:rPr>
          <w:rFonts w:hint="eastAsia" w:ascii="仿宋_GB2312" w:eastAsia="仿宋_GB2312" w:hAnsiTheme="minorEastAsia"/>
          <w:sz w:val="32"/>
          <w:szCs w:val="32"/>
          <w:highlight w:val="none"/>
          <w:lang w:eastAsia="zh-CN"/>
        </w:rPr>
        <w:t>“</w:t>
      </w:r>
      <w:r>
        <w:rPr>
          <w:rFonts w:hint="default" w:ascii="仿宋_GB2312" w:eastAsia="仿宋_GB2312" w:hAnsiTheme="minorEastAsia"/>
          <w:sz w:val="32"/>
          <w:szCs w:val="32"/>
          <w:highlight w:val="none"/>
          <w:lang w:eastAsia="zh-CN"/>
        </w:rPr>
        <w:t>佛山</w:t>
      </w:r>
      <w:r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  <w:t>地铁官网→地铁保护→网上办事”模块进行“前期咨询”。</w:t>
      </w:r>
    </w:p>
    <w:p w14:paraId="64369E22">
      <w:pPr>
        <w:ind w:firstLine="640" w:firstLineChars="200"/>
        <w:rPr>
          <w:rFonts w:hint="eastAsia" w:ascii="仿宋_GB2312" w:eastAsia="仿宋_GB2312" w:hAnsiTheme="minorEastAsia"/>
          <w:sz w:val="32"/>
          <w:szCs w:val="32"/>
          <w:highlight w:val="none"/>
        </w:rPr>
      </w:pP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1.2</w:t>
      </w:r>
      <w:r>
        <w:rPr>
          <w:rFonts w:hint="eastAsia" w:ascii="仿宋_GB2312" w:eastAsia="仿宋_GB2312"/>
          <w:sz w:val="32"/>
          <w:szCs w:val="32"/>
          <w:highlight w:val="none"/>
        </w:rPr>
        <w:t>前期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咨询</w:t>
      </w:r>
      <w:r>
        <w:rPr>
          <w:rFonts w:hint="eastAsia" w:ascii="仿宋_GB2312" w:eastAsia="仿宋_GB2312"/>
          <w:sz w:val="32"/>
          <w:szCs w:val="32"/>
          <w:highlight w:val="none"/>
        </w:rPr>
        <w:t>过程中，如需补充资料、协调或调整技术方案，</w:t>
      </w:r>
      <w:r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  <w:t>请及时按照“网上办事——前期咨询——咨询记录”模块内的提示进行修改</w:t>
      </w:r>
      <w:r>
        <w:rPr>
          <w:rFonts w:hint="eastAsia" w:ascii="仿宋_GB2312" w:eastAsia="仿宋_GB2312" w:hAnsiTheme="minorEastAsia"/>
          <w:sz w:val="32"/>
          <w:szCs w:val="32"/>
          <w:highlight w:val="none"/>
        </w:rPr>
        <w:t>。</w:t>
      </w:r>
    </w:p>
    <w:p w14:paraId="7DF20269">
      <w:pPr>
        <w:numPr>
          <w:ilvl w:val="0"/>
          <w:numId w:val="0"/>
        </w:numPr>
        <w:ind w:firstLine="640" w:firstLineChars="200"/>
        <w:rPr>
          <w:rFonts w:hint="eastAsia" w:ascii="仿宋_GB2312" w:eastAsia="仿宋_GB2312" w:hAnsiTheme="minorEastAsia"/>
          <w:color w:val="FF000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  <w:t>1.3前期咨询阶段资料要求：只需在网站上</w:t>
      </w:r>
      <w:r>
        <w:rPr>
          <w:rFonts w:hint="eastAsia" w:ascii="仿宋_GB2312" w:eastAsia="仿宋_GB2312" w:hAnsiTheme="minorEastAsia"/>
          <w:color w:val="auto"/>
          <w:sz w:val="32"/>
          <w:szCs w:val="32"/>
          <w:highlight w:val="none"/>
          <w:lang w:val="en-US" w:eastAsia="zh-CN"/>
        </w:rPr>
        <w:t>传未盖章的word版资料（征询函、项目概况说明、方案等其他资料）和未</w:t>
      </w:r>
      <w:r>
        <w:rPr>
          <w:rFonts w:hint="eastAsia" w:ascii="仿宋_GB2312" w:eastAsia="仿宋_GB2312" w:hAnsiTheme="minorEastAsia"/>
          <w:color w:val="auto"/>
          <w:sz w:val="32"/>
          <w:szCs w:val="32"/>
          <w:highlight w:val="none"/>
        </w:rPr>
        <w:t>锁定CAD</w:t>
      </w:r>
      <w:r>
        <w:rPr>
          <w:rFonts w:hint="eastAsia" w:ascii="仿宋_GB2312" w:eastAsia="仿宋_GB2312" w:hAnsiTheme="minorEastAsia"/>
          <w:color w:val="auto"/>
          <w:sz w:val="32"/>
          <w:szCs w:val="32"/>
          <w:highlight w:val="none"/>
          <w:lang w:val="en-US" w:eastAsia="zh-CN"/>
        </w:rPr>
        <w:t>设计</w:t>
      </w:r>
      <w:r>
        <w:rPr>
          <w:rFonts w:hint="eastAsia" w:ascii="仿宋_GB2312" w:eastAsia="仿宋_GB2312" w:hAnsiTheme="minorEastAsia"/>
          <w:color w:val="auto"/>
          <w:sz w:val="32"/>
          <w:szCs w:val="32"/>
          <w:highlight w:val="none"/>
        </w:rPr>
        <w:t>图纸</w:t>
      </w:r>
      <w:r>
        <w:rPr>
          <w:rFonts w:hint="eastAsia" w:ascii="仿宋_GB2312" w:eastAsia="仿宋_GB2312" w:hAnsiTheme="minorEastAsia"/>
          <w:color w:val="auto"/>
          <w:sz w:val="32"/>
          <w:szCs w:val="32"/>
          <w:highlight w:val="none"/>
          <w:lang w:val="en-US" w:eastAsia="zh-CN"/>
        </w:rPr>
        <w:t>（平面图需提供</w:t>
      </w:r>
      <w:r>
        <w:rPr>
          <w:rFonts w:hint="eastAsia" w:ascii="仿宋_GB2312" w:eastAsia="仿宋_GB2312" w:hAnsiTheme="minorEastAsia"/>
          <w:color w:val="auto"/>
          <w:sz w:val="32"/>
          <w:szCs w:val="32"/>
          <w:highlight w:val="none"/>
        </w:rPr>
        <w:t>佛山</w:t>
      </w:r>
      <w:r>
        <w:rPr>
          <w:rFonts w:ascii="仿宋_GB2312" w:eastAsia="仿宋_GB2312" w:hAnsiTheme="minorEastAsia"/>
          <w:color w:val="auto"/>
          <w:sz w:val="32"/>
          <w:szCs w:val="32"/>
          <w:highlight w:val="none"/>
        </w:rPr>
        <w:t>市2000坐标系</w:t>
      </w:r>
      <w:r>
        <w:rPr>
          <w:rFonts w:hint="eastAsia" w:ascii="仿宋_GB2312" w:eastAsia="仿宋_GB2312" w:hAnsiTheme="minorEastAsia"/>
          <w:color w:val="auto"/>
          <w:sz w:val="32"/>
          <w:szCs w:val="32"/>
          <w:highlight w:val="none"/>
          <w:lang w:eastAsia="zh-CN"/>
        </w:rPr>
        <w:t>、</w:t>
      </w:r>
      <w:r>
        <w:rPr>
          <w:rFonts w:ascii="仿宋_GB2312" w:eastAsia="仿宋_GB2312" w:hAnsiTheme="minorEastAsia"/>
          <w:color w:val="auto"/>
          <w:sz w:val="32"/>
          <w:szCs w:val="32"/>
          <w:highlight w:val="none"/>
        </w:rPr>
        <w:t>1985高程</w:t>
      </w:r>
      <w:r>
        <w:rPr>
          <w:rFonts w:hint="eastAsia" w:ascii="仿宋_GB2312" w:eastAsia="仿宋_GB2312" w:hAnsiTheme="minorEastAsia"/>
          <w:color w:val="auto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eastAsia="仿宋_GB2312" w:hAnsiTheme="minorEastAsia"/>
          <w:color w:val="auto"/>
          <w:sz w:val="32"/>
          <w:szCs w:val="32"/>
          <w:highlight w:val="none"/>
        </w:rPr>
        <w:t>标注主要坐标点</w:t>
      </w:r>
      <w:r>
        <w:rPr>
          <w:rFonts w:hint="default" w:ascii="仿宋_GB2312" w:eastAsia="仿宋_GB2312" w:hAnsiTheme="minorEastAsia"/>
          <w:color w:val="auto"/>
          <w:sz w:val="32"/>
          <w:szCs w:val="32"/>
          <w:highlight w:val="none"/>
        </w:rPr>
        <w:t>，且CAD中左下角动态坐标需与实际坐标保持一致</w:t>
      </w:r>
      <w:r>
        <w:rPr>
          <w:rFonts w:hint="eastAsia" w:ascii="仿宋_GB2312" w:eastAsia="仿宋_GB2312" w:hAnsiTheme="minorEastAsia"/>
          <w:color w:val="auto"/>
          <w:sz w:val="32"/>
          <w:szCs w:val="32"/>
          <w:highlight w:val="none"/>
          <w:lang w:eastAsia="zh-CN"/>
        </w:rPr>
        <w:t>）。</w:t>
      </w:r>
      <w:r>
        <w:rPr>
          <w:rFonts w:hint="eastAsia" w:ascii="仿宋_GB2312" w:eastAsia="仿宋_GB2312" w:hAnsiTheme="minorEastAsia"/>
          <w:color w:val="FF0000"/>
          <w:sz w:val="32"/>
          <w:szCs w:val="32"/>
          <w:highlight w:val="none"/>
          <w:lang w:val="en-US" w:eastAsia="zh-CN"/>
        </w:rPr>
        <w:t>项目总平面图另外保存处理一版dxf格式的CAD轮廓图方便地保报审网站录入，具体要求为：</w:t>
      </w:r>
    </w:p>
    <w:p w14:paraId="6AE6291B">
      <w:pPr>
        <w:numPr>
          <w:ilvl w:val="0"/>
          <w:numId w:val="0"/>
        </w:numPr>
        <w:ind w:firstLine="640" w:firstLineChars="200"/>
        <w:rPr>
          <w:rFonts w:hint="eastAsia" w:ascii="仿宋_GB2312" w:eastAsia="仿宋_GB2312" w:hAnsiTheme="minorEastAsia"/>
          <w:color w:val="FF000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 w:hAnsiTheme="minorEastAsia"/>
          <w:color w:val="FF0000"/>
          <w:sz w:val="32"/>
          <w:szCs w:val="32"/>
          <w:highlight w:val="none"/>
          <w:lang w:val="en-US" w:eastAsia="zh-CN"/>
        </w:rPr>
        <w:t>①新建线性工程只保留管线路由线段，如管线种类或数量较多，可画大小合适的闭合线段替代，只上传闭合线段。</w:t>
      </w:r>
    </w:p>
    <w:p w14:paraId="2BA7DE1F">
      <w:pPr>
        <w:numPr>
          <w:ilvl w:val="0"/>
          <w:numId w:val="0"/>
        </w:numPr>
        <w:ind w:firstLine="640" w:firstLineChars="200"/>
        <w:rPr>
          <w:rFonts w:hint="eastAsia" w:ascii="仿宋_GB2312" w:eastAsia="仿宋_GB2312" w:hAnsiTheme="minorEastAsia"/>
          <w:color w:val="FF000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 w:hAnsiTheme="minorEastAsia"/>
          <w:color w:val="FF0000"/>
          <w:sz w:val="32"/>
          <w:szCs w:val="32"/>
          <w:highlight w:val="none"/>
          <w:lang w:val="en-US" w:eastAsia="zh-CN"/>
        </w:rPr>
        <w:t>②新建非线性工程只保留用地红线或轮廓线。</w:t>
      </w:r>
    </w:p>
    <w:p w14:paraId="15366F3C">
      <w:pPr>
        <w:numPr>
          <w:ilvl w:val="0"/>
          <w:numId w:val="0"/>
        </w:numPr>
        <w:ind w:firstLine="640" w:firstLineChars="200"/>
        <w:rPr>
          <w:rFonts w:hint="eastAsia" w:ascii="仿宋_GB2312" w:eastAsia="仿宋_GB2312" w:hAnsiTheme="minorEastAsia"/>
          <w:color w:val="FF000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 w:hAnsiTheme="minorEastAsia"/>
          <w:color w:val="FF0000"/>
          <w:sz w:val="32"/>
          <w:szCs w:val="32"/>
          <w:highlight w:val="none"/>
          <w:lang w:val="en-US" w:eastAsia="zh-CN"/>
        </w:rPr>
        <w:t>③文件大小宜在10M以内。</w:t>
      </w:r>
    </w:p>
    <w:p w14:paraId="6D305748">
      <w:pPr>
        <w:numPr>
          <w:ilvl w:val="0"/>
          <w:numId w:val="0"/>
        </w:numPr>
        <w:ind w:firstLine="640" w:firstLineChars="200"/>
        <w:rPr>
          <w:rFonts w:hint="eastAsia" w:ascii="仿宋_GB2312" w:eastAsia="仿宋_GB2312" w:hAnsiTheme="minorEastAsia"/>
          <w:color w:val="FF000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 w:hAnsiTheme="minorEastAsia"/>
          <w:color w:val="FF0000"/>
          <w:sz w:val="32"/>
          <w:szCs w:val="32"/>
          <w:highlight w:val="none"/>
          <w:lang w:val="en-US" w:eastAsia="zh-CN"/>
        </w:rPr>
        <w:t>④剖面图、地形、标注、注释、点等其他要素无法解析读取，并会增加处理时间。</w:t>
      </w:r>
    </w:p>
    <w:p w14:paraId="36358F0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center"/>
        <w:textAlignment w:val="auto"/>
        <w:rPr>
          <w:rFonts w:hint="default" w:ascii="仿宋_GB2312" w:eastAsia="仿宋_GB2312" w:hAnsiTheme="minorEastAsia"/>
          <w:color w:val="FF0000"/>
          <w:sz w:val="32"/>
          <w:szCs w:val="32"/>
          <w:highlight w:val="none"/>
          <w:lang w:val="en-US" w:eastAsia="zh-CN"/>
        </w:rPr>
      </w:pPr>
      <w:r>
        <w:rPr>
          <w:rFonts w:hint="default" w:ascii="仿宋_GB2312" w:eastAsia="仿宋_GB2312" w:hAnsiTheme="minorEastAsia"/>
          <w:color w:val="FF0000"/>
          <w:sz w:val="32"/>
          <w:szCs w:val="32"/>
          <w:highlight w:val="none"/>
          <w:lang w:val="en-US" w:eastAsia="zh-CN"/>
        </w:rPr>
        <w:drawing>
          <wp:inline distT="0" distB="0" distL="114300" distR="114300">
            <wp:extent cx="2624455" cy="1652905"/>
            <wp:effectExtent l="0" t="0" r="4445" b="4445"/>
            <wp:docPr id="1" name="图片 1" descr="1689646136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68964613632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24455" cy="1652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18822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center"/>
        <w:textAlignment w:val="auto"/>
        <w:rPr>
          <w:rFonts w:hint="default" w:ascii="仿宋_GB2312" w:eastAsia="仿宋_GB2312" w:hAnsiTheme="minorEastAsia"/>
          <w:color w:val="FF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eastAsia="仿宋_GB2312" w:hAnsiTheme="minorEastAsia"/>
          <w:color w:val="FF0000"/>
          <w:sz w:val="28"/>
          <w:szCs w:val="28"/>
          <w:highlight w:val="none"/>
          <w:lang w:val="en-US" w:eastAsia="zh-CN"/>
        </w:rPr>
        <w:t>DXF轮廓图示</w:t>
      </w:r>
    </w:p>
    <w:p w14:paraId="1592DB4A">
      <w:pPr>
        <w:spacing w:line="360" w:lineRule="auto"/>
        <w:ind w:firstLine="640" w:firstLineChars="200"/>
        <w:rPr>
          <w:rFonts w:hint="eastAsia" w:ascii="仿宋_GB2312" w:hAnsi="楷体" w:eastAsia="仿宋_GB2312"/>
          <w:b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楷体" w:eastAsia="仿宋_GB2312"/>
          <w:sz w:val="32"/>
          <w:szCs w:val="32"/>
          <w:highlight w:val="none"/>
          <w:lang w:val="en-US" w:eastAsia="zh-CN"/>
        </w:rPr>
        <w:t>2.</w:t>
      </w:r>
      <w:r>
        <w:rPr>
          <w:rFonts w:hint="eastAsia" w:ascii="仿宋_GB2312" w:hAnsi="楷体" w:eastAsia="仿宋_GB2312"/>
          <w:sz w:val="32"/>
          <w:szCs w:val="32"/>
          <w:highlight w:val="none"/>
        </w:rPr>
        <w:t>正式</w:t>
      </w:r>
      <w:r>
        <w:rPr>
          <w:rFonts w:hint="eastAsia" w:ascii="仿宋_GB2312" w:hAnsi="楷体" w:eastAsia="仿宋_GB2312"/>
          <w:sz w:val="32"/>
          <w:szCs w:val="32"/>
          <w:highlight w:val="none"/>
          <w:lang w:val="en-US" w:eastAsia="zh-CN"/>
        </w:rPr>
        <w:t>申</w:t>
      </w:r>
      <w:r>
        <w:rPr>
          <w:rFonts w:hint="eastAsia" w:ascii="仿宋_GB2312" w:hAnsi="楷体" w:eastAsia="仿宋_GB2312"/>
          <w:sz w:val="32"/>
          <w:szCs w:val="32"/>
          <w:highlight w:val="none"/>
        </w:rPr>
        <w:t>报</w:t>
      </w:r>
      <w:r>
        <w:rPr>
          <w:rFonts w:hint="eastAsia" w:ascii="仿宋_GB2312" w:hAnsi="楷体" w:eastAsia="仿宋_GB2312"/>
          <w:sz w:val="32"/>
          <w:szCs w:val="32"/>
          <w:highlight w:val="none"/>
          <w:lang w:val="en-US" w:eastAsia="zh-CN"/>
        </w:rPr>
        <w:t>阶段</w:t>
      </w:r>
    </w:p>
    <w:p w14:paraId="37A944FD">
      <w:pPr>
        <w:ind w:firstLine="640" w:firstLineChars="200"/>
        <w:rPr>
          <w:rFonts w:hint="eastAsia" w:ascii="仿宋_GB2312" w:eastAsia="仿宋_GB2312" w:hAnsiTheme="minorEastAsia"/>
          <w:sz w:val="32"/>
          <w:szCs w:val="32"/>
          <w:highlight w:val="none"/>
        </w:rPr>
      </w:pP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2.1</w:t>
      </w:r>
      <w:r>
        <w:rPr>
          <w:rFonts w:hint="eastAsia" w:ascii="仿宋_GB2312" w:eastAsia="仿宋_GB2312"/>
          <w:sz w:val="32"/>
          <w:szCs w:val="32"/>
          <w:highlight w:val="none"/>
        </w:rPr>
        <w:t>前期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咨询阶段接到</w:t>
      </w:r>
      <w:r>
        <w:rPr>
          <w:rFonts w:hint="eastAsia" w:ascii="仿宋_GB2312" w:eastAsia="仿宋_GB2312"/>
          <w:sz w:val="32"/>
          <w:szCs w:val="32"/>
          <w:highlight w:val="none"/>
        </w:rPr>
        <w:t>正式报审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通知后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请于门户网站“网上办事——正式申报”模块进行报审</w:t>
      </w:r>
      <w:r>
        <w:rPr>
          <w:rFonts w:hint="eastAsia" w:ascii="仿宋_GB2312" w:eastAsia="仿宋_GB2312" w:hAnsiTheme="minorEastAsia"/>
          <w:sz w:val="32"/>
          <w:szCs w:val="32"/>
          <w:highlight w:val="none"/>
        </w:rPr>
        <w:t>。</w:t>
      </w:r>
    </w:p>
    <w:p w14:paraId="019AAD8E">
      <w:pPr>
        <w:ind w:firstLine="640" w:firstLineChars="200"/>
        <w:rPr>
          <w:rFonts w:hint="eastAsia" w:ascii="仿宋_GB2312" w:eastAsia="仿宋_GB2312" w:hAnsiTheme="minorEastAsia"/>
          <w:sz w:val="32"/>
          <w:szCs w:val="32"/>
          <w:highlight w:val="none"/>
        </w:rPr>
      </w:pPr>
      <w:r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  <w:t>2.2</w:t>
      </w:r>
      <w:r>
        <w:rPr>
          <w:rFonts w:hint="eastAsia" w:ascii="仿宋_GB2312" w:eastAsia="仿宋_GB2312" w:hAnsiTheme="minorEastAsia"/>
          <w:sz w:val="32"/>
          <w:szCs w:val="32"/>
          <w:highlight w:val="none"/>
        </w:rPr>
        <w:t>正式</w:t>
      </w:r>
      <w:r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  <w:t>申报</w:t>
      </w:r>
      <w:r>
        <w:rPr>
          <w:rFonts w:hint="eastAsia" w:ascii="仿宋_GB2312" w:eastAsia="仿宋_GB2312" w:hAnsiTheme="minorEastAsia"/>
          <w:sz w:val="32"/>
          <w:szCs w:val="32"/>
          <w:highlight w:val="none"/>
        </w:rPr>
        <w:t>须</w:t>
      </w:r>
      <w:r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  <w:t>提交</w:t>
      </w:r>
      <w:r>
        <w:rPr>
          <w:rFonts w:hint="eastAsia" w:ascii="仿宋_GB2312" w:eastAsia="仿宋_GB2312" w:hAnsiTheme="minorEastAsia"/>
          <w:sz w:val="32"/>
          <w:szCs w:val="32"/>
          <w:highlight w:val="none"/>
        </w:rPr>
        <w:t>前期咨询完成后确认满足地铁保护要求的最后一版</w:t>
      </w:r>
      <w:r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  <w:t>资料</w:t>
      </w:r>
      <w:r>
        <w:rPr>
          <w:rFonts w:hint="eastAsia" w:ascii="仿宋_GB2312" w:eastAsia="仿宋_GB2312" w:hAnsiTheme="minorEastAsia"/>
          <w:sz w:val="32"/>
          <w:szCs w:val="32"/>
          <w:highlight w:val="none"/>
        </w:rPr>
        <w:t>，且保证</w:t>
      </w:r>
      <w:r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  <w:t>资料</w:t>
      </w:r>
      <w:r>
        <w:rPr>
          <w:rFonts w:hint="eastAsia" w:ascii="仿宋_GB2312" w:eastAsia="仿宋_GB2312" w:hAnsiTheme="minorEastAsia"/>
          <w:sz w:val="32"/>
          <w:szCs w:val="32"/>
          <w:highlight w:val="none"/>
        </w:rPr>
        <w:t>的齐全性、准确性、完整性和有效性。我办审核所提交的正式</w:t>
      </w:r>
      <w:r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  <w:t>资料</w:t>
      </w:r>
      <w:r>
        <w:rPr>
          <w:rFonts w:hint="eastAsia" w:ascii="仿宋_GB2312" w:eastAsia="仿宋_GB2312" w:hAnsiTheme="minorEastAsia"/>
          <w:sz w:val="32"/>
          <w:szCs w:val="32"/>
          <w:highlight w:val="none"/>
        </w:rPr>
        <w:t>符合要求后，将</w:t>
      </w:r>
      <w:r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  <w:t>进入审查流程</w:t>
      </w:r>
      <w:r>
        <w:rPr>
          <w:rFonts w:hint="eastAsia" w:ascii="仿宋_GB2312" w:eastAsia="仿宋_GB2312" w:hAnsiTheme="minorEastAsia"/>
          <w:sz w:val="32"/>
          <w:szCs w:val="32"/>
          <w:highlight w:val="none"/>
        </w:rPr>
        <w:t>。</w:t>
      </w:r>
    </w:p>
    <w:p w14:paraId="1CF3F2A9">
      <w:pPr>
        <w:ind w:firstLine="640" w:firstLineChars="200"/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  <w:t>2.3使用网站报审的项目，无须再到我办公地点提交纸质资料，只须在网站上传彩色盖章版PDF即可（同步提供对应的word版征询函、项目概况、方案等以及未锁定的CAD图纸）。资料具体要求如下：</w:t>
      </w:r>
    </w:p>
    <w:p w14:paraId="2DE18AD0">
      <w:pPr>
        <w:ind w:firstLine="640" w:firstLineChars="200"/>
        <w:rPr>
          <w:rFonts w:hint="eastAsia" w:ascii="仿宋_GB2312" w:eastAsia="仿宋_GB2312" w:hAnsiTheme="minorEastAsia"/>
          <w:sz w:val="32"/>
          <w:szCs w:val="32"/>
          <w:highlight w:val="none"/>
        </w:rPr>
      </w:pPr>
      <w:r>
        <w:rPr>
          <w:rFonts w:hint="eastAsia" w:ascii="仿宋_GB2312" w:eastAsia="仿宋_GB2312"/>
          <w:sz w:val="32"/>
          <w:szCs w:val="32"/>
          <w:highlight w:val="none"/>
        </w:rPr>
        <w:t>①</w:t>
      </w:r>
      <w:r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  <w:t>征询函、概况说明：</w:t>
      </w:r>
      <w:r>
        <w:rPr>
          <w:rFonts w:hint="eastAsia" w:ascii="仿宋_GB2312" w:eastAsia="仿宋_GB2312" w:hAnsiTheme="minorEastAsia"/>
          <w:sz w:val="32"/>
          <w:szCs w:val="32"/>
          <w:highlight w:val="none"/>
        </w:rPr>
        <w:t>需加盖建设单位公章（民宅按产权人指印）</w:t>
      </w:r>
      <w:r>
        <w:rPr>
          <w:rFonts w:hint="eastAsia" w:ascii="仿宋_GB2312" w:eastAsia="仿宋_GB2312" w:hAnsiTheme="minorEastAsia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eastAsia="仿宋_GB2312" w:hAnsiTheme="minorEastAsia"/>
          <w:sz w:val="32"/>
          <w:szCs w:val="32"/>
          <w:highlight w:val="none"/>
        </w:rPr>
        <w:t>多页打印加盖骑缝章。</w:t>
      </w:r>
    </w:p>
    <w:p w14:paraId="011C06CD">
      <w:pPr>
        <w:ind w:firstLine="640" w:firstLineChars="200"/>
        <w:rPr>
          <w:rFonts w:hint="eastAsia" w:ascii="仿宋_GB2312" w:eastAsia="仿宋_GB2312" w:hAnsiTheme="minorEastAsia"/>
          <w:sz w:val="32"/>
          <w:szCs w:val="32"/>
          <w:highlight w:val="none"/>
          <w:lang w:eastAsia="zh-CN"/>
        </w:rPr>
      </w:pPr>
      <w:r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  <w:t>②安全评估报告、线站位研究方案、地质勘察报告等有编制单位的资料，审批页各级审核、审批人员需手写签名，封面页+审批页盖编制单位公章或</w:t>
      </w:r>
      <w:r>
        <w:rPr>
          <w:rFonts w:hint="eastAsia" w:ascii="仿宋_GB2312" w:eastAsia="仿宋_GB2312" w:hAnsiTheme="minorEastAsia"/>
          <w:sz w:val="32"/>
          <w:szCs w:val="32"/>
          <w:highlight w:val="none"/>
        </w:rPr>
        <w:t>电子公章</w:t>
      </w:r>
      <w:r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  <w:t>和建设单位公章或</w:t>
      </w:r>
      <w:r>
        <w:rPr>
          <w:rFonts w:hint="eastAsia" w:ascii="仿宋_GB2312" w:eastAsia="仿宋_GB2312" w:hAnsiTheme="minorEastAsia"/>
          <w:sz w:val="32"/>
          <w:szCs w:val="32"/>
          <w:highlight w:val="none"/>
        </w:rPr>
        <w:t>电子公章（民宅按产权人指印）</w:t>
      </w:r>
      <w:r>
        <w:rPr>
          <w:rFonts w:hint="eastAsia" w:ascii="仿宋_GB2312" w:eastAsia="仿宋_GB2312" w:hAnsiTheme="minorEastAsia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  <w:t>其他可不盖页，整体盖骑缝章</w:t>
      </w:r>
      <w:r>
        <w:rPr>
          <w:rFonts w:hint="eastAsia" w:ascii="仿宋_GB2312" w:eastAsia="仿宋_GB2312" w:hAnsiTheme="minorEastAsia"/>
          <w:sz w:val="32"/>
          <w:szCs w:val="32"/>
          <w:highlight w:val="none"/>
          <w:lang w:eastAsia="zh-CN"/>
        </w:rPr>
        <w:t>。</w:t>
      </w:r>
    </w:p>
    <w:p w14:paraId="4D736CDE">
      <w:pPr>
        <w:ind w:firstLine="640" w:firstLineChars="200"/>
        <w:rPr>
          <w:rFonts w:hint="default" w:ascii="仿宋_GB2312" w:eastAsia="仿宋_GB2312" w:hAnsiTheme="minorEastAsia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  <w:t>③设计图纸需提交蓝图彩色扫描版PDF+CAD文件，封面页+审批页盖设计单位出图章或</w:t>
      </w:r>
      <w:r>
        <w:rPr>
          <w:rFonts w:hint="eastAsia" w:ascii="仿宋_GB2312" w:eastAsia="仿宋_GB2312" w:hAnsiTheme="minorEastAsia"/>
          <w:sz w:val="32"/>
          <w:szCs w:val="32"/>
          <w:highlight w:val="none"/>
        </w:rPr>
        <w:t>电子</w:t>
      </w:r>
      <w:r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  <w:t>出图</w:t>
      </w:r>
      <w:r>
        <w:rPr>
          <w:rFonts w:hint="eastAsia" w:ascii="仿宋_GB2312" w:eastAsia="仿宋_GB2312" w:hAnsiTheme="minorEastAsia"/>
          <w:sz w:val="32"/>
          <w:szCs w:val="32"/>
          <w:highlight w:val="none"/>
        </w:rPr>
        <w:t>章</w:t>
      </w:r>
      <w:r>
        <w:rPr>
          <w:rFonts w:hint="eastAsia" w:ascii="仿宋_GB2312" w:eastAsia="仿宋_GB2312" w:hAnsiTheme="minorEastAsia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  <w:t>出图章须在</w:t>
      </w:r>
      <w:r>
        <w:rPr>
          <w:rFonts w:hint="eastAsia" w:ascii="仿宋_GB2312" w:eastAsia="仿宋_GB2312" w:hAnsiTheme="minorEastAsia"/>
          <w:sz w:val="32"/>
          <w:szCs w:val="32"/>
          <w:highlight w:val="none"/>
        </w:rPr>
        <w:t>有效期内</w:t>
      </w:r>
      <w:r>
        <w:rPr>
          <w:rFonts w:hint="eastAsia" w:ascii="仿宋_GB2312" w:eastAsia="仿宋_GB2312" w:hAnsiTheme="minorEastAsia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  <w:t>和建设单位公章或</w:t>
      </w:r>
      <w:r>
        <w:rPr>
          <w:rFonts w:hint="eastAsia" w:ascii="仿宋_GB2312" w:eastAsia="仿宋_GB2312" w:hAnsiTheme="minorEastAsia"/>
          <w:sz w:val="32"/>
          <w:szCs w:val="32"/>
          <w:highlight w:val="none"/>
        </w:rPr>
        <w:t>电子公章（民宅按产权人指印）</w:t>
      </w:r>
      <w:r>
        <w:rPr>
          <w:rFonts w:hint="eastAsia" w:ascii="仿宋_GB2312" w:eastAsia="仿宋_GB2312" w:hAnsiTheme="minorEastAsia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  <w:t>其他页可不盖，整体盖骑缝章</w:t>
      </w:r>
      <w:r>
        <w:rPr>
          <w:rFonts w:hint="eastAsia" w:ascii="仿宋_GB2312" w:eastAsia="仿宋_GB2312" w:hAnsiTheme="minorEastAsia"/>
          <w:sz w:val="32"/>
          <w:szCs w:val="32"/>
          <w:highlight w:val="none"/>
          <w:lang w:eastAsia="zh-CN"/>
        </w:rPr>
        <w:t>。</w:t>
      </w:r>
    </w:p>
    <w:p w14:paraId="53126952">
      <w:pPr>
        <w:ind w:firstLine="640" w:firstLineChars="200"/>
        <w:rPr>
          <w:rFonts w:hint="default" w:ascii="仿宋_GB2312" w:eastAsia="仿宋_GB2312" w:hAnsiTheme="minorEastAsia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  <w:t>④资料有修改时，重新按上述要求再次提交/申报。</w:t>
      </w:r>
    </w:p>
    <w:p w14:paraId="58A8272D">
      <w:pPr>
        <w:ind w:firstLine="640" w:firstLineChars="200"/>
        <w:rPr>
          <w:rFonts w:ascii="仿宋_GB2312" w:eastAsia="仿宋_GB2312" w:hAnsiTheme="minorEastAsia"/>
          <w:sz w:val="32"/>
          <w:szCs w:val="32"/>
          <w:highlight w:val="none"/>
        </w:rPr>
      </w:pPr>
      <w:r>
        <w:rPr>
          <w:rFonts w:hint="eastAsia" w:ascii="仿宋_GB2312" w:eastAsia="仿宋_GB2312" w:hAnsiTheme="minorEastAsia"/>
          <w:sz w:val="32"/>
          <w:szCs w:val="32"/>
          <w:highlight w:val="none"/>
        </w:rPr>
        <w:t>（三）审查回文</w:t>
      </w:r>
    </w:p>
    <w:p w14:paraId="796B2880">
      <w:pPr>
        <w:ind w:firstLine="640" w:firstLineChars="200"/>
        <w:rPr>
          <w:rFonts w:hint="eastAsia" w:ascii="仿宋_GB2312" w:eastAsia="仿宋_GB2312" w:hAnsiTheme="minorEastAsia"/>
          <w:sz w:val="32"/>
          <w:szCs w:val="32"/>
          <w:highlight w:val="none"/>
        </w:rPr>
      </w:pPr>
      <w:r>
        <w:rPr>
          <w:rFonts w:hint="eastAsia" w:ascii="仿宋_GB2312" w:eastAsia="仿宋_GB2312" w:hAnsiTheme="minorEastAsia"/>
          <w:color w:val="auto"/>
          <w:sz w:val="32"/>
          <w:szCs w:val="32"/>
          <w:highlight w:val="none"/>
        </w:rPr>
        <w:t>正式</w:t>
      </w:r>
      <w:r>
        <w:rPr>
          <w:rFonts w:hint="eastAsia" w:ascii="仿宋_GB2312" w:eastAsia="仿宋_GB2312" w:hAnsiTheme="minorEastAsia"/>
          <w:color w:val="auto"/>
          <w:sz w:val="32"/>
          <w:szCs w:val="32"/>
          <w:highlight w:val="none"/>
          <w:lang w:val="en-US" w:eastAsia="zh-CN"/>
        </w:rPr>
        <w:t>申报</w:t>
      </w:r>
      <w:r>
        <w:rPr>
          <w:rFonts w:hint="eastAsia" w:ascii="仿宋_GB2312" w:eastAsia="仿宋_GB2312" w:hAnsiTheme="minorEastAsia"/>
          <w:color w:val="auto"/>
          <w:sz w:val="32"/>
          <w:szCs w:val="32"/>
          <w:highlight w:val="none"/>
        </w:rPr>
        <w:t>入件后，</w:t>
      </w:r>
      <w:r>
        <w:rPr>
          <w:rFonts w:hint="eastAsia" w:ascii="仿宋_GB2312" w:eastAsia="仿宋_GB2312" w:hAnsiTheme="minorEastAsia"/>
          <w:color w:val="auto"/>
          <w:sz w:val="32"/>
          <w:szCs w:val="32"/>
          <w:highlight w:val="none"/>
          <w:lang w:val="en-US" w:eastAsia="zh-CN"/>
        </w:rPr>
        <w:t>一般规划线路5个工作日、重大项目10个工作日以内，在建、运营线路10个工作日、重大项目15个工作日以内</w:t>
      </w:r>
      <w:r>
        <w:rPr>
          <w:rFonts w:hint="eastAsia" w:ascii="仿宋_GB2312" w:eastAsia="仿宋_GB2312" w:hAnsiTheme="minorEastAsia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eastAsia="仿宋_GB2312" w:hAnsiTheme="minorEastAsia"/>
          <w:color w:val="auto"/>
          <w:sz w:val="32"/>
          <w:szCs w:val="32"/>
          <w:highlight w:val="none"/>
        </w:rPr>
        <w:t>可以出具审查意见，</w:t>
      </w:r>
      <w:r>
        <w:rPr>
          <w:rFonts w:hint="eastAsia" w:ascii="仿宋_GB2312" w:eastAsia="仿宋_GB2312" w:hAnsiTheme="minorEastAsia"/>
          <w:sz w:val="32"/>
          <w:szCs w:val="32"/>
          <w:highlight w:val="none"/>
        </w:rPr>
        <w:t>逾期未收到复函通知，可电话咨询审查进度情况。</w:t>
      </w:r>
    </w:p>
    <w:p w14:paraId="5A9EBA20">
      <w:pPr>
        <w:ind w:firstLine="640" w:firstLineChars="200"/>
        <w:rPr>
          <w:rFonts w:hint="default" w:ascii="仿宋_GB2312" w:eastAsia="仿宋_GB2312" w:hAnsiTheme="minorEastAsia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 w:hAnsiTheme="minorEastAsia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  <w:t>四</w:t>
      </w:r>
      <w:r>
        <w:rPr>
          <w:rFonts w:hint="eastAsia" w:ascii="仿宋_GB2312" w:eastAsia="仿宋_GB2312" w:hAnsiTheme="minorEastAsia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  <w:t>报审流程图</w:t>
      </w:r>
    </w:p>
    <w:p w14:paraId="6B21341F">
      <w:pPr>
        <w:ind w:firstLine="0" w:firstLineChars="0"/>
        <w:rPr>
          <w:rFonts w:hint="eastAsia" w:eastAsiaTheme="minorEastAsia"/>
          <w:highlight w:val="none"/>
          <w:lang w:eastAsia="zh-CN"/>
        </w:rPr>
      </w:pPr>
      <w:r>
        <w:rPr>
          <w:rFonts w:hint="eastAsia" w:eastAsiaTheme="minorEastAsia"/>
          <w:highlight w:val="none"/>
          <w:lang w:eastAsia="zh-CN"/>
        </w:rPr>
        <w:drawing>
          <wp:inline distT="0" distB="0" distL="114300" distR="114300">
            <wp:extent cx="5273675" cy="3910965"/>
            <wp:effectExtent l="0" t="0" r="3175" b="1333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910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55255F">
      <w:pPr>
        <w:spacing w:line="360" w:lineRule="auto"/>
        <w:ind w:firstLine="0" w:firstLineChars="0"/>
        <w:rPr>
          <w:rFonts w:ascii="仿宋_GB2312" w:eastAsia="仿宋_GB2312" w:hAnsiTheme="minorEastAsia"/>
          <w:sz w:val="32"/>
          <w:szCs w:val="32"/>
          <w:highlight w:val="none"/>
        </w:rPr>
      </w:pPr>
      <w:r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  <w:t xml:space="preserve">    </w:t>
      </w:r>
      <w:r>
        <w:rPr>
          <w:rFonts w:hint="eastAsia" w:ascii="仿宋_GB2312" w:eastAsia="仿宋_GB2312" w:hAnsiTheme="minorEastAsia"/>
          <w:sz w:val="32"/>
          <w:szCs w:val="32"/>
          <w:highlight w:val="none"/>
        </w:rPr>
        <w:t>如有疑问请务必及时沟通（可加地保办QQ群：623114270或电话联系0757-</w:t>
      </w:r>
      <w:r>
        <w:rPr>
          <w:rFonts w:ascii="仿宋_GB2312" w:eastAsia="仿宋_GB2312" w:hAnsiTheme="minorEastAsia"/>
          <w:sz w:val="32"/>
          <w:szCs w:val="32"/>
          <w:highlight w:val="none"/>
        </w:rPr>
        <w:t>82488777</w:t>
      </w:r>
      <w:r>
        <w:rPr>
          <w:rFonts w:hint="eastAsia" w:ascii="仿宋_GB2312" w:eastAsia="仿宋_GB2312" w:hAnsiTheme="minorEastAsia"/>
          <w:sz w:val="32"/>
          <w:szCs w:val="32"/>
          <w:highlight w:val="none"/>
        </w:rPr>
        <w:t>）。</w:t>
      </w:r>
    </w:p>
    <w:p w14:paraId="28288C9B">
      <w:pPr>
        <w:spacing w:line="360" w:lineRule="auto"/>
        <w:rPr>
          <w:rFonts w:ascii="仿宋_GB2312" w:eastAsia="仿宋_GB2312" w:hAnsiTheme="minorEastAsia"/>
          <w:sz w:val="32"/>
          <w:szCs w:val="32"/>
          <w:highlight w:val="none"/>
        </w:rPr>
      </w:pPr>
    </w:p>
    <w:p w14:paraId="45DF7082">
      <w:pPr>
        <w:spacing w:line="360" w:lineRule="auto"/>
        <w:ind w:firstLine="640" w:firstLineChars="200"/>
        <w:rPr>
          <w:rFonts w:ascii="仿宋_GB2312" w:eastAsia="仿宋_GB2312" w:hAnsiTheme="minorEastAsia"/>
          <w:sz w:val="32"/>
          <w:szCs w:val="32"/>
          <w:highlight w:val="none"/>
        </w:rPr>
      </w:pPr>
      <w:r>
        <w:rPr>
          <w:rFonts w:hint="eastAsia" w:ascii="仿宋_GB2312" w:eastAsia="仿宋_GB2312" w:hAnsiTheme="minorEastAsia"/>
          <w:sz w:val="32"/>
          <w:szCs w:val="32"/>
          <w:highlight w:val="none"/>
        </w:rPr>
        <w:t>附件：</w:t>
      </w:r>
    </w:p>
    <w:p w14:paraId="61EE6E85">
      <w:pPr>
        <w:spacing w:line="360" w:lineRule="auto"/>
        <w:ind w:firstLine="640" w:firstLineChars="200"/>
        <w:rPr>
          <w:rFonts w:ascii="仿宋_GB2312" w:eastAsia="仿宋_GB2312" w:hAnsiTheme="minorEastAsia"/>
          <w:sz w:val="32"/>
          <w:szCs w:val="32"/>
          <w:highlight w:val="none"/>
        </w:rPr>
      </w:pPr>
      <w:r>
        <w:rPr>
          <w:rFonts w:hint="eastAsia" w:ascii="仿宋_GB2312" w:eastAsia="仿宋_GB2312" w:hAnsiTheme="minorEastAsia"/>
          <w:sz w:val="32"/>
          <w:szCs w:val="32"/>
          <w:highlight w:val="none"/>
        </w:rPr>
        <w:t>1.《报审资料要求》</w:t>
      </w:r>
    </w:p>
    <w:p w14:paraId="12DE2D2A">
      <w:pPr>
        <w:spacing w:line="360" w:lineRule="auto"/>
        <w:ind w:firstLine="640" w:firstLineChars="200"/>
        <w:rPr>
          <w:rFonts w:ascii="仿宋_GB2312" w:eastAsia="仿宋_GB2312" w:hAnsiTheme="minorEastAsia"/>
          <w:sz w:val="32"/>
          <w:szCs w:val="32"/>
          <w:highlight w:val="none"/>
        </w:rPr>
      </w:pPr>
      <w:r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_GB2312" w:eastAsia="仿宋_GB2312" w:hAnsiTheme="minorEastAsia"/>
          <w:sz w:val="32"/>
          <w:szCs w:val="32"/>
          <w:highlight w:val="none"/>
        </w:rPr>
        <w:t>.《征询函》（</w:t>
      </w:r>
      <w:r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  <w:t>模</w:t>
      </w:r>
      <w:r>
        <w:rPr>
          <w:rFonts w:hint="eastAsia" w:ascii="仿宋_GB2312" w:eastAsia="仿宋_GB2312" w:hAnsiTheme="minorEastAsia"/>
          <w:sz w:val="32"/>
          <w:szCs w:val="32"/>
          <w:highlight w:val="none"/>
        </w:rPr>
        <w:t>板）</w:t>
      </w:r>
    </w:p>
    <w:p w14:paraId="69D8A12D">
      <w:pPr>
        <w:spacing w:line="360" w:lineRule="auto"/>
        <w:ind w:firstLine="640" w:firstLineChars="200"/>
        <w:rPr>
          <w:rFonts w:hint="default" w:ascii="仿宋_GB2312" w:eastAsia="仿宋_GB2312" w:hAnsiTheme="minorEastAsia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  <w:t>3.项目概况说明（按需选用）</w:t>
      </w:r>
    </w:p>
    <w:p w14:paraId="0D41F7DE">
      <w:pPr>
        <w:spacing w:line="360" w:lineRule="auto"/>
        <w:ind w:firstLine="640" w:firstLineChars="200"/>
        <w:rPr>
          <w:rFonts w:ascii="仿宋_GB2312" w:eastAsia="仿宋_GB2312" w:hAnsiTheme="minorEastAsia"/>
          <w:sz w:val="32"/>
          <w:szCs w:val="32"/>
          <w:highlight w:val="none"/>
        </w:rPr>
      </w:pPr>
    </w:p>
    <w:p w14:paraId="5CF90E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640" w:firstLineChars="200"/>
        <w:jc w:val="right"/>
        <w:textAlignment w:val="auto"/>
        <w:rPr>
          <w:rFonts w:ascii="仿宋_GB2312" w:eastAsia="仿宋_GB2312" w:hAnsiTheme="minorEastAsia"/>
          <w:sz w:val="32"/>
          <w:szCs w:val="32"/>
        </w:rPr>
      </w:pPr>
      <w:r>
        <w:rPr>
          <w:rFonts w:hint="eastAsia" w:ascii="仿宋_GB2312" w:eastAsia="仿宋_GB2312" w:hAnsiTheme="minorEastAsia"/>
          <w:sz w:val="32"/>
          <w:szCs w:val="32"/>
          <w:highlight w:val="none"/>
        </w:rPr>
        <w:t>佛山市城市轨道交通</w:t>
      </w:r>
      <w:r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  <w:t>保护管理</w:t>
      </w:r>
      <w:r>
        <w:rPr>
          <w:rFonts w:hint="eastAsia" w:ascii="仿宋_GB2312" w:eastAsia="仿宋_GB2312" w:hAnsiTheme="minorEastAsia"/>
          <w:sz w:val="32"/>
          <w:szCs w:val="32"/>
          <w:highlight w:val="none"/>
        </w:rPr>
        <w:t>办公室</w:t>
      </w:r>
      <w:r>
        <w:rPr>
          <w:rFonts w:ascii="仿宋_GB2312" w:eastAsia="仿宋_GB2312" w:hAnsiTheme="minorEastAsia"/>
          <w:sz w:val="32"/>
          <w:szCs w:val="32"/>
          <w:highlight w:val="none"/>
        </w:rPr>
        <w:t xml:space="preserve">               </w:t>
      </w:r>
      <w:bookmarkStart w:id="0" w:name="_GoBack"/>
      <w:bookmarkEnd w:id="0"/>
      <w:r>
        <w:rPr>
          <w:rFonts w:hint="eastAsia" w:ascii="仿宋_GB2312" w:eastAsia="仿宋_GB2312" w:hAnsiTheme="minorEastAsia"/>
          <w:sz w:val="32"/>
          <w:szCs w:val="32"/>
          <w:highlight w:val="none"/>
        </w:rPr>
        <w:t>202</w:t>
      </w:r>
      <w:r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_GB2312" w:eastAsia="仿宋_GB2312" w:hAnsiTheme="minorEastAsia"/>
          <w:sz w:val="32"/>
          <w:szCs w:val="32"/>
          <w:highlight w:val="none"/>
        </w:rPr>
        <w:t>年</w:t>
      </w:r>
      <w:r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_GB2312" w:eastAsia="仿宋_GB2312" w:hAnsiTheme="minorEastAsia"/>
          <w:sz w:val="32"/>
          <w:szCs w:val="32"/>
          <w:highlight w:val="none"/>
        </w:rPr>
        <w:t>月</w:t>
      </w:r>
      <w:r>
        <w:rPr>
          <w:rFonts w:hint="eastAsia" w:ascii="仿宋_GB2312" w:eastAsia="仿宋_GB2312" w:hAnsiTheme="minorEastAsia"/>
          <w:sz w:val="32"/>
          <w:szCs w:val="32"/>
          <w:highlight w:val="none"/>
          <w:lang w:val="en-US" w:eastAsia="zh-CN"/>
        </w:rPr>
        <w:t>27</w:t>
      </w:r>
      <w:r>
        <w:rPr>
          <w:rFonts w:hint="eastAsia" w:ascii="仿宋_GB2312" w:eastAsia="仿宋_GB2312" w:hAnsiTheme="minorEastAsia"/>
          <w:sz w:val="32"/>
          <w:szCs w:val="32"/>
          <w:highlight w:val="none"/>
        </w:rPr>
        <w:t xml:space="preserve">日 </w:t>
      </w:r>
      <w:r>
        <w:rPr>
          <w:rFonts w:hint="eastAsia" w:ascii="仿宋_GB2312" w:eastAsia="仿宋_GB2312" w:hAnsiTheme="minorEastAsia"/>
          <w:sz w:val="32"/>
          <w:szCs w:val="32"/>
        </w:rPr>
        <w:t xml:space="preserve">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MzlmYzgwNGM1NjYyNmEzOWE1OWQ5MjFkMDY2YWJlNDQifQ=="/>
    <w:docVar w:name="KSO_WPS_MARK_KEY" w:val="c36f5791-93d8-4622-874f-3793b055c705"/>
  </w:docVars>
  <w:rsids>
    <w:rsidRoot w:val="008425A6"/>
    <w:rsid w:val="000267B5"/>
    <w:rsid w:val="000445DC"/>
    <w:rsid w:val="00045A69"/>
    <w:rsid w:val="0005588D"/>
    <w:rsid w:val="000D1788"/>
    <w:rsid w:val="000D4DF3"/>
    <w:rsid w:val="000E45EC"/>
    <w:rsid w:val="000E7264"/>
    <w:rsid w:val="0014472F"/>
    <w:rsid w:val="001556DD"/>
    <w:rsid w:val="001A165E"/>
    <w:rsid w:val="001F0EA3"/>
    <w:rsid w:val="001F4EF5"/>
    <w:rsid w:val="001F6E48"/>
    <w:rsid w:val="00230E4F"/>
    <w:rsid w:val="00260366"/>
    <w:rsid w:val="0026673D"/>
    <w:rsid w:val="002A6995"/>
    <w:rsid w:val="002C78FF"/>
    <w:rsid w:val="002F1177"/>
    <w:rsid w:val="002F36C2"/>
    <w:rsid w:val="003076AB"/>
    <w:rsid w:val="003323A2"/>
    <w:rsid w:val="00334908"/>
    <w:rsid w:val="00385A02"/>
    <w:rsid w:val="003A4985"/>
    <w:rsid w:val="003E3BFA"/>
    <w:rsid w:val="00407733"/>
    <w:rsid w:val="00413859"/>
    <w:rsid w:val="00441E74"/>
    <w:rsid w:val="00461120"/>
    <w:rsid w:val="00463854"/>
    <w:rsid w:val="004750B0"/>
    <w:rsid w:val="00491707"/>
    <w:rsid w:val="004A0396"/>
    <w:rsid w:val="004A2892"/>
    <w:rsid w:val="004A2E1D"/>
    <w:rsid w:val="004B53B0"/>
    <w:rsid w:val="004B6DDD"/>
    <w:rsid w:val="004D4DE3"/>
    <w:rsid w:val="004E3EBA"/>
    <w:rsid w:val="00503D8B"/>
    <w:rsid w:val="00507F55"/>
    <w:rsid w:val="00521B4E"/>
    <w:rsid w:val="005448F1"/>
    <w:rsid w:val="00556393"/>
    <w:rsid w:val="005705F4"/>
    <w:rsid w:val="005D16AD"/>
    <w:rsid w:val="005D6B68"/>
    <w:rsid w:val="005D7B36"/>
    <w:rsid w:val="005E514F"/>
    <w:rsid w:val="005F18B3"/>
    <w:rsid w:val="006050B0"/>
    <w:rsid w:val="006120C2"/>
    <w:rsid w:val="00625EEF"/>
    <w:rsid w:val="006538DC"/>
    <w:rsid w:val="00674D8B"/>
    <w:rsid w:val="00675BFD"/>
    <w:rsid w:val="00677E1F"/>
    <w:rsid w:val="006A12D6"/>
    <w:rsid w:val="006A6DBB"/>
    <w:rsid w:val="006C48D9"/>
    <w:rsid w:val="006F6897"/>
    <w:rsid w:val="0072538E"/>
    <w:rsid w:val="007263DC"/>
    <w:rsid w:val="00733960"/>
    <w:rsid w:val="0074680B"/>
    <w:rsid w:val="007A27E3"/>
    <w:rsid w:val="007B2D72"/>
    <w:rsid w:val="007C580B"/>
    <w:rsid w:val="007D36BD"/>
    <w:rsid w:val="007D6FBD"/>
    <w:rsid w:val="00806FC0"/>
    <w:rsid w:val="00811FEE"/>
    <w:rsid w:val="00813406"/>
    <w:rsid w:val="00830E69"/>
    <w:rsid w:val="0083139F"/>
    <w:rsid w:val="0083144D"/>
    <w:rsid w:val="00833D99"/>
    <w:rsid w:val="008425A6"/>
    <w:rsid w:val="0084392B"/>
    <w:rsid w:val="00870C51"/>
    <w:rsid w:val="00873372"/>
    <w:rsid w:val="00896640"/>
    <w:rsid w:val="008C7C3D"/>
    <w:rsid w:val="008F3FAD"/>
    <w:rsid w:val="008F6041"/>
    <w:rsid w:val="009132B1"/>
    <w:rsid w:val="009472D8"/>
    <w:rsid w:val="0095322D"/>
    <w:rsid w:val="00973DAF"/>
    <w:rsid w:val="00984FDA"/>
    <w:rsid w:val="00991012"/>
    <w:rsid w:val="009A0B6C"/>
    <w:rsid w:val="009C5AE4"/>
    <w:rsid w:val="009C61A9"/>
    <w:rsid w:val="009F3382"/>
    <w:rsid w:val="00A15163"/>
    <w:rsid w:val="00A24B9A"/>
    <w:rsid w:val="00A37466"/>
    <w:rsid w:val="00A42301"/>
    <w:rsid w:val="00A44B64"/>
    <w:rsid w:val="00A51E4E"/>
    <w:rsid w:val="00A75F24"/>
    <w:rsid w:val="00AB2DD4"/>
    <w:rsid w:val="00AB786D"/>
    <w:rsid w:val="00AF4C17"/>
    <w:rsid w:val="00B0208E"/>
    <w:rsid w:val="00B7130D"/>
    <w:rsid w:val="00B85C83"/>
    <w:rsid w:val="00BA1A98"/>
    <w:rsid w:val="00BA1AE3"/>
    <w:rsid w:val="00BB6A32"/>
    <w:rsid w:val="00BF011D"/>
    <w:rsid w:val="00C22F5F"/>
    <w:rsid w:val="00C33602"/>
    <w:rsid w:val="00C43E70"/>
    <w:rsid w:val="00C711DF"/>
    <w:rsid w:val="00C713DA"/>
    <w:rsid w:val="00C7769B"/>
    <w:rsid w:val="00CC4A20"/>
    <w:rsid w:val="00CC59AA"/>
    <w:rsid w:val="00CD36C0"/>
    <w:rsid w:val="00CE38EC"/>
    <w:rsid w:val="00CE5012"/>
    <w:rsid w:val="00CF020F"/>
    <w:rsid w:val="00D01FAC"/>
    <w:rsid w:val="00D068EF"/>
    <w:rsid w:val="00D36716"/>
    <w:rsid w:val="00D440FD"/>
    <w:rsid w:val="00D962CD"/>
    <w:rsid w:val="00DB5835"/>
    <w:rsid w:val="00E4092D"/>
    <w:rsid w:val="00E451FB"/>
    <w:rsid w:val="00E52196"/>
    <w:rsid w:val="00E611AE"/>
    <w:rsid w:val="00E808C1"/>
    <w:rsid w:val="00E92336"/>
    <w:rsid w:val="00E9523F"/>
    <w:rsid w:val="00EA1096"/>
    <w:rsid w:val="00EA4E4C"/>
    <w:rsid w:val="00EC35DB"/>
    <w:rsid w:val="00EC4606"/>
    <w:rsid w:val="00F07E0F"/>
    <w:rsid w:val="00F11438"/>
    <w:rsid w:val="00F51102"/>
    <w:rsid w:val="00F534D1"/>
    <w:rsid w:val="00F674CA"/>
    <w:rsid w:val="00F90380"/>
    <w:rsid w:val="00FA769F"/>
    <w:rsid w:val="00FD3684"/>
    <w:rsid w:val="00FF6BF7"/>
    <w:rsid w:val="02B53B20"/>
    <w:rsid w:val="07C018F0"/>
    <w:rsid w:val="0C6370C5"/>
    <w:rsid w:val="10DC33CD"/>
    <w:rsid w:val="157FBC2A"/>
    <w:rsid w:val="18085769"/>
    <w:rsid w:val="1A2B0767"/>
    <w:rsid w:val="1C114233"/>
    <w:rsid w:val="1C59446B"/>
    <w:rsid w:val="1FB73B4B"/>
    <w:rsid w:val="20DA7F19"/>
    <w:rsid w:val="226A6F7B"/>
    <w:rsid w:val="227F1944"/>
    <w:rsid w:val="23D42E46"/>
    <w:rsid w:val="24CF3BD1"/>
    <w:rsid w:val="25F030F1"/>
    <w:rsid w:val="27326EA3"/>
    <w:rsid w:val="28122524"/>
    <w:rsid w:val="28213402"/>
    <w:rsid w:val="29811D99"/>
    <w:rsid w:val="2A514316"/>
    <w:rsid w:val="2B1376E4"/>
    <w:rsid w:val="2F963108"/>
    <w:rsid w:val="300A238A"/>
    <w:rsid w:val="373C2B71"/>
    <w:rsid w:val="39E222F8"/>
    <w:rsid w:val="3F1C1B0C"/>
    <w:rsid w:val="3FDD5B8F"/>
    <w:rsid w:val="40BB6FB2"/>
    <w:rsid w:val="415600C1"/>
    <w:rsid w:val="420251EA"/>
    <w:rsid w:val="42B46E8A"/>
    <w:rsid w:val="42DF371C"/>
    <w:rsid w:val="43434382"/>
    <w:rsid w:val="47C12DC8"/>
    <w:rsid w:val="4B5F6461"/>
    <w:rsid w:val="4D40107C"/>
    <w:rsid w:val="4EF53830"/>
    <w:rsid w:val="5419705C"/>
    <w:rsid w:val="581D7205"/>
    <w:rsid w:val="5C5A5794"/>
    <w:rsid w:val="5ED72CCF"/>
    <w:rsid w:val="5FB17CA3"/>
    <w:rsid w:val="623347E4"/>
    <w:rsid w:val="658237D3"/>
    <w:rsid w:val="667700F5"/>
    <w:rsid w:val="6A4557BB"/>
    <w:rsid w:val="6C3F4D19"/>
    <w:rsid w:val="6DEA0957"/>
    <w:rsid w:val="6F1643B0"/>
    <w:rsid w:val="70D7582B"/>
    <w:rsid w:val="73A82DA3"/>
    <w:rsid w:val="747138B7"/>
    <w:rsid w:val="75D21A1E"/>
    <w:rsid w:val="77E34B9F"/>
    <w:rsid w:val="BB7E2A76"/>
    <w:rsid w:val="BFBA9427"/>
    <w:rsid w:val="BFEB7018"/>
    <w:rsid w:val="D7FD48CA"/>
    <w:rsid w:val="F56D7943"/>
    <w:rsid w:val="FFBB86A2"/>
    <w:rsid w:val="FFFFEE1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7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7">
    <w:name w:val="annotation subject"/>
    <w:basedOn w:val="2"/>
    <w:next w:val="2"/>
    <w:link w:val="18"/>
    <w:semiHidden/>
    <w:unhideWhenUsed/>
    <w:qFormat/>
    <w:uiPriority w:val="99"/>
    <w:rPr>
      <w:b/>
      <w:bCs/>
    </w:rPr>
  </w:style>
  <w:style w:type="character" w:styleId="10">
    <w:name w:val="FollowedHyperlink"/>
    <w:basedOn w:val="9"/>
    <w:semiHidden/>
    <w:unhideWhenUsed/>
    <w:qFormat/>
    <w:uiPriority w:val="99"/>
    <w:rPr>
      <w:color w:val="954F72" w:themeColor="followedHyperlink"/>
      <w:u w:val="single"/>
    </w:rPr>
  </w:style>
  <w:style w:type="character" w:styleId="11">
    <w:name w:val="Hyperlink"/>
    <w:basedOn w:val="9"/>
    <w:unhideWhenUsed/>
    <w:qFormat/>
    <w:uiPriority w:val="99"/>
    <w:rPr>
      <w:color w:val="0563C1" w:themeColor="hyperlink"/>
      <w:u w:val="single"/>
    </w:rPr>
  </w:style>
  <w:style w:type="character" w:styleId="12">
    <w:name w:val="annotation reference"/>
    <w:basedOn w:val="9"/>
    <w:semiHidden/>
    <w:unhideWhenUsed/>
    <w:qFormat/>
    <w:uiPriority w:val="99"/>
    <w:rPr>
      <w:sz w:val="21"/>
      <w:szCs w:val="21"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  <w:style w:type="character" w:customStyle="1" w:styleId="14">
    <w:name w:val="页眉 字符"/>
    <w:basedOn w:val="9"/>
    <w:link w:val="5"/>
    <w:qFormat/>
    <w:uiPriority w:val="99"/>
    <w:rPr>
      <w:sz w:val="18"/>
      <w:szCs w:val="18"/>
    </w:rPr>
  </w:style>
  <w:style w:type="character" w:customStyle="1" w:styleId="15">
    <w:name w:val="页脚 字符"/>
    <w:basedOn w:val="9"/>
    <w:link w:val="4"/>
    <w:qFormat/>
    <w:uiPriority w:val="99"/>
    <w:rPr>
      <w:sz w:val="18"/>
      <w:szCs w:val="18"/>
    </w:rPr>
  </w:style>
  <w:style w:type="character" w:customStyle="1" w:styleId="16">
    <w:name w:val="批注框文本 字符"/>
    <w:basedOn w:val="9"/>
    <w:link w:val="3"/>
    <w:semiHidden/>
    <w:qFormat/>
    <w:uiPriority w:val="99"/>
    <w:rPr>
      <w:sz w:val="18"/>
      <w:szCs w:val="18"/>
    </w:rPr>
  </w:style>
  <w:style w:type="character" w:customStyle="1" w:styleId="17">
    <w:name w:val="批注文字 字符"/>
    <w:basedOn w:val="9"/>
    <w:link w:val="2"/>
    <w:semiHidden/>
    <w:qFormat/>
    <w:uiPriority w:val="99"/>
  </w:style>
  <w:style w:type="character" w:customStyle="1" w:styleId="18">
    <w:name w:val="批注主题 字符"/>
    <w:basedOn w:val="17"/>
    <w:link w:val="7"/>
    <w:semiHidden/>
    <w:qFormat/>
    <w:uiPriority w:val="99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china</Company>
  <Pages>5</Pages>
  <Words>1496</Words>
  <Characters>1635</Characters>
  <Lines>12</Lines>
  <Paragraphs>3</Paragraphs>
  <TotalTime>15</TotalTime>
  <ScaleCrop>false</ScaleCrop>
  <LinksUpToDate>false</LinksUpToDate>
  <CharactersWithSpaces>1662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2018-04-12T09:03:00Z</dcterms:created>
  <dc:creator>刘丽</dc:creator>
  <cp:lastModifiedBy> 建红</cp:lastModifiedBy>
  <cp:lastPrinted>2019-04-05T11:19:00Z</cp:lastPrinted>
  <dcterms:modified xsi:type="dcterms:W3CDTF">2026-02-27T01:37:13Z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17F79CD8FCBA4D448D15996D26F7FA08_12</vt:lpwstr>
  </property>
  <property fmtid="{D5CDD505-2E9C-101B-9397-08002B2CF9AE}" pid="4" name="KSOTemplateDocerSaveRecord">
    <vt:lpwstr>eyJoZGlkIjoiZDM0ZmY4M2RmMmE0ODk3ZDc3Zjc1YWRhMDRiMWEwOTQiLCJ1c2VySWQiOiI3NTY2NjM1NjYifQ==</vt:lpwstr>
  </property>
</Properties>
</file>